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84" w:rsidRDefault="000D4F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81FF8" w:rsidRPr="004B2B75" w:rsidRDefault="00A81FF8" w:rsidP="00A81F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D4F84" w:rsidRDefault="000D4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81FF8" w:rsidRPr="00125468" w:rsidRDefault="008A7D0F" w:rsidP="00A81F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25468">
        <w:rPr>
          <w:rFonts w:ascii="Times New Roman" w:eastAsia="Times New Roman" w:hAnsi="Times New Roman" w:cs="Times New Roman"/>
        </w:rPr>
        <w:t>Приватне акціонерне товариство «</w:t>
      </w:r>
      <w:proofErr w:type="spellStart"/>
      <w:r w:rsidRPr="00125468">
        <w:rPr>
          <w:rFonts w:ascii="Times New Roman" w:eastAsia="Times New Roman" w:hAnsi="Times New Roman" w:cs="Times New Roman"/>
        </w:rPr>
        <w:t>Шосткинська</w:t>
      </w:r>
      <w:proofErr w:type="spellEnd"/>
      <w:r w:rsidRPr="00125468">
        <w:rPr>
          <w:rFonts w:ascii="Times New Roman" w:eastAsia="Times New Roman" w:hAnsi="Times New Roman" w:cs="Times New Roman"/>
        </w:rPr>
        <w:t xml:space="preserve"> телекомпанія «</w:t>
      </w:r>
      <w:proofErr w:type="spellStart"/>
      <w:r w:rsidRPr="00125468">
        <w:rPr>
          <w:rFonts w:ascii="Times New Roman" w:eastAsia="Times New Roman" w:hAnsi="Times New Roman" w:cs="Times New Roman"/>
        </w:rPr>
        <w:t>Телеком-Сервіс</w:t>
      </w:r>
      <w:proofErr w:type="spellEnd"/>
      <w:r w:rsidRPr="00125468">
        <w:rPr>
          <w:rFonts w:ascii="Times New Roman" w:eastAsia="Times New Roman" w:hAnsi="Times New Roman" w:cs="Times New Roman"/>
        </w:rPr>
        <w:t>» (місцезнаходження якого: 41100, Сумська обл., місто Шостка, вулиця Короленка, 33-а) повідомляє про внесення змін до</w:t>
      </w:r>
      <w:r w:rsidR="00F658D7">
        <w:rPr>
          <w:rFonts w:ascii="Times New Roman" w:eastAsia="Times New Roman" w:hAnsi="Times New Roman" w:cs="Times New Roman"/>
        </w:rPr>
        <w:t xml:space="preserve"> проекту</w:t>
      </w:r>
      <w:r w:rsidRPr="00125468">
        <w:rPr>
          <w:rFonts w:ascii="Times New Roman" w:eastAsia="Times New Roman" w:hAnsi="Times New Roman" w:cs="Times New Roman"/>
        </w:rPr>
        <w:t xml:space="preserve"> порядку денного річних (чергових)  загальних зборів </w:t>
      </w:r>
      <w:r w:rsidR="00A81FF8" w:rsidRPr="00125468">
        <w:rPr>
          <w:rFonts w:ascii="Times New Roman" w:hAnsi="Times New Roman" w:cs="Times New Roman"/>
        </w:rPr>
        <w:t>акціонерів</w:t>
      </w:r>
      <w:r w:rsidR="00D01990">
        <w:rPr>
          <w:rFonts w:ascii="Times New Roman" w:hAnsi="Times New Roman" w:cs="Times New Roman"/>
        </w:rPr>
        <w:t>,</w:t>
      </w:r>
      <w:r w:rsidR="00D536B3">
        <w:rPr>
          <w:rFonts w:ascii="Times New Roman" w:hAnsi="Times New Roman" w:cs="Times New Roman"/>
        </w:rPr>
        <w:t xml:space="preserve"> </w:t>
      </w:r>
      <w:r w:rsidR="00D01990">
        <w:rPr>
          <w:rFonts w:ascii="Times New Roman" w:hAnsi="Times New Roman" w:cs="Times New Roman"/>
        </w:rPr>
        <w:t xml:space="preserve">які відбудуться </w:t>
      </w:r>
      <w:r w:rsidR="00A81FF8" w:rsidRPr="00125468">
        <w:rPr>
          <w:rFonts w:ascii="Times New Roman" w:hAnsi="Times New Roman" w:cs="Times New Roman"/>
        </w:rPr>
        <w:t xml:space="preserve"> 23 березня 2020 року о 17 год. 00 хв. за адресою: 41100, Україна, Сумська область, місто Шостка, вулиця Короленка, 33-а (приймальня Директора на 4-му поверсі будинку).</w:t>
      </w:r>
    </w:p>
    <w:p w:rsidR="000D4F84" w:rsidRPr="00125468" w:rsidRDefault="008A7D0F" w:rsidP="00A81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</w:rPr>
      </w:pPr>
      <w:r w:rsidRPr="00125468">
        <w:rPr>
          <w:rFonts w:ascii="Times New Roman" w:eastAsia="Times New Roman" w:hAnsi="Times New Roman" w:cs="Times New Roman"/>
          <w:color w:val="000000"/>
        </w:rPr>
        <w:t xml:space="preserve">Згідно ст.38 Закону України «Про акціонерні товариства» за пропозицією акціонера, який володіє більше 5 відсотків простих акцій, до </w:t>
      </w:r>
      <w:r w:rsidRPr="00125468">
        <w:rPr>
          <w:rFonts w:ascii="Times New Roman" w:eastAsia="Times New Roman" w:hAnsi="Times New Roman" w:cs="Times New Roman"/>
          <w:highlight w:val="white"/>
        </w:rPr>
        <w:t>проекту порядку денного загальних зборів</w:t>
      </w:r>
      <w:r w:rsidRPr="00125468">
        <w:rPr>
          <w:rFonts w:ascii="Times New Roman" w:eastAsia="Times New Roman" w:hAnsi="Times New Roman" w:cs="Times New Roman"/>
          <w:color w:val="000000"/>
          <w:highlight w:val="white"/>
        </w:rPr>
        <w:t xml:space="preserve"> включен</w:t>
      </w:r>
      <w:r w:rsidRPr="00125468">
        <w:rPr>
          <w:rFonts w:ascii="Times New Roman" w:eastAsia="Times New Roman" w:hAnsi="Times New Roman" w:cs="Times New Roman"/>
          <w:highlight w:val="white"/>
        </w:rPr>
        <w:t>о</w:t>
      </w:r>
      <w:r w:rsidRPr="00125468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7872A0">
        <w:rPr>
          <w:rFonts w:ascii="Times New Roman" w:eastAsia="Times New Roman" w:hAnsi="Times New Roman" w:cs="Times New Roman"/>
          <w:highlight w:val="white"/>
        </w:rPr>
        <w:t>нове питанн</w:t>
      </w:r>
      <w:r w:rsidRPr="00125468">
        <w:rPr>
          <w:rFonts w:ascii="Times New Roman" w:eastAsia="Times New Roman" w:hAnsi="Times New Roman" w:cs="Times New Roman"/>
          <w:highlight w:val="white"/>
        </w:rPr>
        <w:t>я</w:t>
      </w:r>
      <w:r w:rsidRPr="00125468">
        <w:rPr>
          <w:rFonts w:ascii="Times New Roman" w:eastAsia="Times New Roman" w:hAnsi="Times New Roman" w:cs="Times New Roman"/>
          <w:color w:val="000000"/>
          <w:highlight w:val="white"/>
        </w:rPr>
        <w:t xml:space="preserve"> наступного змісту: «</w:t>
      </w:r>
      <w:r w:rsidR="00A81FF8" w:rsidRPr="00125468">
        <w:rPr>
          <w:rFonts w:ascii="Times New Roman" w:eastAsia="Times New Roman" w:hAnsi="Times New Roman" w:cs="Times New Roman"/>
          <w:highlight w:val="white"/>
        </w:rPr>
        <w:t>Прийняття рішення</w:t>
      </w:r>
      <w:r w:rsidR="00A81FF8" w:rsidRPr="00125468">
        <w:rPr>
          <w:rFonts w:ascii="Times New Roman" w:eastAsia="Times New Roman" w:hAnsi="Times New Roman" w:cs="Times New Roman"/>
          <w:color w:val="000000"/>
        </w:rPr>
        <w:t xml:space="preserve"> про р</w:t>
      </w:r>
      <w:r w:rsidR="00A81FF8" w:rsidRPr="00125468">
        <w:rPr>
          <w:rFonts w:ascii="Times New Roman" w:hAnsi="Times New Roman" w:cs="Times New Roman"/>
          <w:color w:val="000000"/>
          <w:shd w:val="clear" w:color="auto" w:fill="FFFFFF"/>
        </w:rPr>
        <w:t>озподіл прибутку і збитків товариства</w:t>
      </w:r>
      <w:r w:rsidRPr="00125468">
        <w:rPr>
          <w:rFonts w:ascii="Times New Roman" w:eastAsia="Times New Roman" w:hAnsi="Times New Roman" w:cs="Times New Roman"/>
          <w:color w:val="000000"/>
          <w:highlight w:val="white"/>
        </w:rPr>
        <w:t>»</w:t>
      </w:r>
      <w:r w:rsidRPr="00125468">
        <w:rPr>
          <w:rFonts w:ascii="Times New Roman" w:eastAsia="Times New Roman" w:hAnsi="Times New Roman" w:cs="Times New Roman"/>
          <w:highlight w:val="white"/>
        </w:rPr>
        <w:t xml:space="preserve"> та  проект рішення з цього питання наступного змісту: </w:t>
      </w:r>
      <w:r w:rsidRPr="00125468">
        <w:rPr>
          <w:rFonts w:ascii="Times New Roman" w:eastAsia="Times New Roman" w:hAnsi="Times New Roman" w:cs="Times New Roman"/>
        </w:rPr>
        <w:t>«</w:t>
      </w:r>
      <w:r w:rsidR="00A81FF8" w:rsidRPr="00125468">
        <w:rPr>
          <w:rFonts w:ascii="Times New Roman" w:hAnsi="Times New Roman" w:cs="Times New Roman"/>
        </w:rPr>
        <w:t>Збиток, отриманий за результатами діяльності Товариства у 2019 році, покрити за рахунок прибутків наступних періодів.</w:t>
      </w:r>
      <w:r w:rsidRPr="00125468">
        <w:rPr>
          <w:rFonts w:ascii="Times New Roman" w:eastAsia="Times New Roman" w:hAnsi="Times New Roman" w:cs="Times New Roman"/>
        </w:rPr>
        <w:t>»</w:t>
      </w:r>
      <w:r w:rsidR="00D536B3">
        <w:rPr>
          <w:rFonts w:ascii="Times New Roman" w:eastAsia="Times New Roman" w:hAnsi="Times New Roman" w:cs="Times New Roman"/>
        </w:rPr>
        <w:t>.</w:t>
      </w:r>
    </w:p>
    <w:p w:rsidR="000D4F84" w:rsidRPr="00125468" w:rsidRDefault="008A7D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125468">
        <w:rPr>
          <w:rFonts w:ascii="Times New Roman" w:eastAsia="Times New Roman" w:hAnsi="Times New Roman" w:cs="Times New Roman"/>
          <w:color w:val="000000"/>
          <w:highlight w:val="white"/>
        </w:rPr>
        <w:tab/>
      </w:r>
      <w:r w:rsidRPr="00125468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0D4F84" w:rsidRPr="00125468" w:rsidRDefault="008A7D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5468">
        <w:rPr>
          <w:rFonts w:ascii="Times New Roman" w:eastAsia="Times New Roman" w:hAnsi="Times New Roman" w:cs="Times New Roman"/>
          <w:highlight w:val="white"/>
        </w:rPr>
        <w:tab/>
        <w:t xml:space="preserve">З урахуванням внесених змін,  повідомляємо наступний проект порядку  </w:t>
      </w:r>
      <w:r w:rsidRPr="00125468">
        <w:rPr>
          <w:rFonts w:ascii="Times New Roman" w:eastAsia="Times New Roman" w:hAnsi="Times New Roman" w:cs="Times New Roman"/>
        </w:rPr>
        <w:t xml:space="preserve">денного річних (чергових)  загальних зборів акціонерів, які відбудуться </w:t>
      </w:r>
      <w:r w:rsidR="00A81FF8" w:rsidRPr="00125468">
        <w:rPr>
          <w:rFonts w:ascii="Times New Roman" w:eastAsia="Times New Roman" w:hAnsi="Times New Roman" w:cs="Times New Roman"/>
        </w:rPr>
        <w:t>23</w:t>
      </w:r>
      <w:r w:rsidRPr="00125468">
        <w:rPr>
          <w:rFonts w:ascii="Times New Roman" w:eastAsia="Times New Roman" w:hAnsi="Times New Roman" w:cs="Times New Roman"/>
        </w:rPr>
        <w:t xml:space="preserve"> </w:t>
      </w:r>
      <w:r w:rsidR="00A81FF8" w:rsidRPr="00125468">
        <w:rPr>
          <w:rFonts w:ascii="Times New Roman" w:eastAsia="Times New Roman" w:hAnsi="Times New Roman" w:cs="Times New Roman"/>
        </w:rPr>
        <w:t>берез</w:t>
      </w:r>
      <w:r w:rsidRPr="00125468">
        <w:rPr>
          <w:rFonts w:ascii="Times New Roman" w:eastAsia="Times New Roman" w:hAnsi="Times New Roman" w:cs="Times New Roman"/>
        </w:rPr>
        <w:t>ня 20</w:t>
      </w:r>
      <w:r w:rsidR="00A81FF8" w:rsidRPr="00125468">
        <w:rPr>
          <w:rFonts w:ascii="Times New Roman" w:eastAsia="Times New Roman" w:hAnsi="Times New Roman" w:cs="Times New Roman"/>
        </w:rPr>
        <w:t>20</w:t>
      </w:r>
      <w:r w:rsidRPr="00125468">
        <w:rPr>
          <w:rFonts w:ascii="Times New Roman" w:eastAsia="Times New Roman" w:hAnsi="Times New Roman" w:cs="Times New Roman"/>
        </w:rPr>
        <w:t xml:space="preserve"> року о 17 год. 00 хв.:</w:t>
      </w:r>
    </w:p>
    <w:p w:rsidR="000D4F84" w:rsidRPr="00125468" w:rsidRDefault="008A7D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125468">
        <w:rPr>
          <w:rFonts w:ascii="Times New Roman" w:eastAsia="Times New Roman" w:hAnsi="Times New Roman" w:cs="Times New Roman"/>
          <w:highlight w:val="white"/>
        </w:rPr>
        <w:t>Перелік питань разом з проектом рішень щодо кожного з питань проекту порядку денного:</w:t>
      </w:r>
    </w:p>
    <w:p w:rsidR="00A81FF8" w:rsidRPr="00125468" w:rsidRDefault="00125468" w:rsidP="00A81FF8">
      <w:pPr>
        <w:pStyle w:val="10"/>
        <w:numPr>
          <w:ilvl w:val="0"/>
          <w:numId w:val="1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125468">
        <w:rPr>
          <w:sz w:val="22"/>
          <w:szCs w:val="22"/>
        </w:rPr>
        <w:t>О</w:t>
      </w:r>
      <w:r w:rsidR="00A81FF8" w:rsidRPr="00125468">
        <w:rPr>
          <w:sz w:val="22"/>
          <w:szCs w:val="22"/>
        </w:rPr>
        <w:t>брання лічильної комісії.</w:t>
      </w:r>
    </w:p>
    <w:p w:rsidR="00A81FF8" w:rsidRPr="00125468" w:rsidRDefault="00A81FF8" w:rsidP="00A81FF8">
      <w:pPr>
        <w:pStyle w:val="10"/>
        <w:numPr>
          <w:ilvl w:val="0"/>
          <w:numId w:val="1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125468">
        <w:rPr>
          <w:sz w:val="22"/>
          <w:szCs w:val="22"/>
        </w:rPr>
        <w:t>Прийняття рішення за наслідками розгляду звіту Директора за 2019 рік.</w:t>
      </w:r>
    </w:p>
    <w:p w:rsidR="00A81FF8" w:rsidRPr="00125468" w:rsidRDefault="00A81FF8" w:rsidP="00A81FF8">
      <w:pPr>
        <w:pStyle w:val="10"/>
        <w:numPr>
          <w:ilvl w:val="0"/>
          <w:numId w:val="1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125468">
        <w:rPr>
          <w:sz w:val="22"/>
          <w:szCs w:val="22"/>
        </w:rPr>
        <w:t>Прийняття рішення за наслідками розгляду звіту та висновків Ревізора за 2019 рік.</w:t>
      </w:r>
    </w:p>
    <w:p w:rsidR="00A81FF8" w:rsidRPr="00125468" w:rsidRDefault="00A81FF8" w:rsidP="00A81FF8">
      <w:pPr>
        <w:pStyle w:val="10"/>
        <w:numPr>
          <w:ilvl w:val="0"/>
          <w:numId w:val="1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125468">
        <w:rPr>
          <w:sz w:val="22"/>
          <w:szCs w:val="22"/>
        </w:rPr>
        <w:t>Затвердження річних звітів Товариства за 2019 рік.</w:t>
      </w:r>
    </w:p>
    <w:p w:rsidR="00A81FF8" w:rsidRPr="00125468" w:rsidRDefault="00A81FF8" w:rsidP="00A81FF8">
      <w:pPr>
        <w:pStyle w:val="10"/>
        <w:numPr>
          <w:ilvl w:val="0"/>
          <w:numId w:val="1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125468">
        <w:rPr>
          <w:sz w:val="22"/>
          <w:szCs w:val="22"/>
        </w:rPr>
        <w:t>Прийняття рішення про розподіл прибутку (покриття збитків) Товариства за 2019 рік.</w:t>
      </w:r>
    </w:p>
    <w:p w:rsidR="00A81FF8" w:rsidRPr="00125468" w:rsidRDefault="00A81FF8" w:rsidP="00A81FF8">
      <w:pPr>
        <w:pStyle w:val="10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125468">
        <w:rPr>
          <w:sz w:val="22"/>
          <w:szCs w:val="22"/>
        </w:rPr>
        <w:t>Прийняття рішення про попереднє  надання згоди на вчинення  значних  правочинів,  які  можуть  вчинятися Товариством протягом  одного року з дати прийняття рішення.</w:t>
      </w:r>
    </w:p>
    <w:p w:rsidR="000D4F84" w:rsidRPr="00125468" w:rsidRDefault="00A81FF8" w:rsidP="00D536B3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25468">
        <w:rPr>
          <w:rFonts w:ascii="Times New Roman" w:eastAsia="Times New Roman" w:hAnsi="Times New Roman" w:cs="Times New Roman"/>
          <w:highlight w:val="white"/>
        </w:rPr>
        <w:t>Прийняття рішення</w:t>
      </w:r>
      <w:r w:rsidRPr="00125468">
        <w:rPr>
          <w:rFonts w:ascii="Times New Roman" w:eastAsia="Times New Roman" w:hAnsi="Times New Roman" w:cs="Times New Roman"/>
          <w:color w:val="000000"/>
        </w:rPr>
        <w:t xml:space="preserve"> про р</w:t>
      </w:r>
      <w:r w:rsidRPr="00125468">
        <w:rPr>
          <w:rFonts w:ascii="Times New Roman" w:hAnsi="Times New Roman" w:cs="Times New Roman"/>
          <w:color w:val="000000"/>
          <w:shd w:val="clear" w:color="auto" w:fill="FFFFFF"/>
        </w:rPr>
        <w:t>озподіл прибутку і збитків товариства.</w:t>
      </w:r>
    </w:p>
    <w:p w:rsidR="00A81FF8" w:rsidRPr="00125468" w:rsidRDefault="00A81FF8" w:rsidP="00A81F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468">
        <w:rPr>
          <w:rFonts w:ascii="Times New Roman" w:hAnsi="Times New Roman" w:cs="Times New Roman"/>
          <w:b/>
        </w:rPr>
        <w:t>Проект рішення з питання першого проекту порядку денного:</w:t>
      </w:r>
      <w:r w:rsidRPr="00125468">
        <w:rPr>
          <w:rFonts w:ascii="Times New Roman" w:hAnsi="Times New Roman" w:cs="Times New Roman"/>
        </w:rPr>
        <w:t xml:space="preserve"> Обрати лічильну комісію в складі однієї особи: </w:t>
      </w:r>
      <w:proofErr w:type="spellStart"/>
      <w:r w:rsidRPr="00125468">
        <w:rPr>
          <w:rFonts w:ascii="Times New Roman" w:hAnsi="Times New Roman" w:cs="Times New Roman"/>
        </w:rPr>
        <w:t>Красинська</w:t>
      </w:r>
      <w:proofErr w:type="spellEnd"/>
      <w:r w:rsidRPr="00125468">
        <w:rPr>
          <w:rFonts w:ascii="Times New Roman" w:hAnsi="Times New Roman" w:cs="Times New Roman"/>
        </w:rPr>
        <w:t xml:space="preserve"> Анжела Миколаївна -  голова комісії.</w:t>
      </w:r>
    </w:p>
    <w:p w:rsidR="00A81FF8" w:rsidRPr="00125468" w:rsidRDefault="00A81FF8" w:rsidP="00A81F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468">
        <w:rPr>
          <w:rFonts w:ascii="Times New Roman" w:hAnsi="Times New Roman" w:cs="Times New Roman"/>
          <w:b/>
        </w:rPr>
        <w:t>Проект рішення з питання другого проекту порядку денного:</w:t>
      </w:r>
      <w:r w:rsidRPr="00125468">
        <w:rPr>
          <w:rFonts w:ascii="Times New Roman" w:hAnsi="Times New Roman" w:cs="Times New Roman"/>
        </w:rPr>
        <w:t xml:space="preserve"> Затвердити звіт Директора за 2019 рік.</w:t>
      </w:r>
    </w:p>
    <w:p w:rsidR="00A81FF8" w:rsidRPr="00125468" w:rsidRDefault="00A81FF8" w:rsidP="00A81F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468">
        <w:rPr>
          <w:rFonts w:ascii="Times New Roman" w:hAnsi="Times New Roman" w:cs="Times New Roman"/>
          <w:b/>
        </w:rPr>
        <w:t>Проект рішення з питання третього проекту порядку денного:</w:t>
      </w:r>
      <w:r w:rsidRPr="00125468">
        <w:rPr>
          <w:rFonts w:ascii="Times New Roman" w:hAnsi="Times New Roman" w:cs="Times New Roman"/>
        </w:rPr>
        <w:t xml:space="preserve"> Затвердити звіт та висновки Ревізора за 2019 рік.</w:t>
      </w:r>
    </w:p>
    <w:p w:rsidR="00A81FF8" w:rsidRPr="00125468" w:rsidRDefault="00A81FF8" w:rsidP="00A81F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468">
        <w:rPr>
          <w:rFonts w:ascii="Times New Roman" w:hAnsi="Times New Roman" w:cs="Times New Roman"/>
          <w:b/>
        </w:rPr>
        <w:t>Проект рішення з питання четвертого проекту порядку денного:</w:t>
      </w:r>
      <w:r w:rsidRPr="00125468">
        <w:rPr>
          <w:rFonts w:ascii="Times New Roman" w:hAnsi="Times New Roman" w:cs="Times New Roman"/>
        </w:rPr>
        <w:t xml:space="preserve"> Затвердити річні звіти </w:t>
      </w:r>
      <w:proofErr w:type="spellStart"/>
      <w:r w:rsidRPr="00125468">
        <w:rPr>
          <w:rFonts w:ascii="Times New Roman" w:hAnsi="Times New Roman" w:cs="Times New Roman"/>
        </w:rPr>
        <w:t>ПрАТ</w:t>
      </w:r>
      <w:proofErr w:type="spellEnd"/>
      <w:r w:rsidRPr="00125468">
        <w:rPr>
          <w:rFonts w:ascii="Times New Roman" w:hAnsi="Times New Roman" w:cs="Times New Roman"/>
        </w:rPr>
        <w:t xml:space="preserve"> «ШТ «ТКС» за 2019 рік.</w:t>
      </w:r>
    </w:p>
    <w:p w:rsidR="00A81FF8" w:rsidRPr="00125468" w:rsidRDefault="00A81FF8" w:rsidP="00A81F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468">
        <w:rPr>
          <w:rFonts w:ascii="Times New Roman" w:hAnsi="Times New Roman" w:cs="Times New Roman"/>
          <w:b/>
        </w:rPr>
        <w:t>Проект рішення з питання п’ятого проекту порядку денного:</w:t>
      </w:r>
      <w:r w:rsidRPr="00125468">
        <w:rPr>
          <w:rFonts w:ascii="Times New Roman" w:hAnsi="Times New Roman" w:cs="Times New Roman"/>
        </w:rPr>
        <w:t xml:space="preserve"> Прибуток, отриманий за результатами діяльності Товариства у 2019 році, направити на поповнення обігових коштів Товариства.</w:t>
      </w:r>
    </w:p>
    <w:p w:rsidR="00A81FF8" w:rsidRPr="00125468" w:rsidRDefault="00A81FF8" w:rsidP="00A81FF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25468">
        <w:rPr>
          <w:rFonts w:ascii="Times New Roman" w:hAnsi="Times New Roman" w:cs="Times New Roman"/>
          <w:b/>
        </w:rPr>
        <w:t>Проект рішення з питання шостого проекту порядку денного:</w:t>
      </w:r>
      <w:r w:rsidRPr="00125468">
        <w:rPr>
          <w:rFonts w:ascii="Times New Roman" w:hAnsi="Times New Roman" w:cs="Times New Roman"/>
        </w:rPr>
        <w:t xml:space="preserve"> </w:t>
      </w:r>
      <w:r w:rsidRPr="00125468">
        <w:rPr>
          <w:rFonts w:ascii="Times New Roman" w:hAnsi="Times New Roman" w:cs="Times New Roman"/>
          <w:color w:val="000000"/>
        </w:rPr>
        <w:t>Попередньо надати згоду на вчинення значних правочинів,  які  можуть вчинятися, в тому числі не одноразово, Товариством протягом  одного року з дати прийняття рішення, а саме:</w:t>
      </w:r>
    </w:p>
    <w:p w:rsidR="00A81FF8" w:rsidRPr="00125468" w:rsidRDefault="00A81FF8" w:rsidP="00A81FF8">
      <w:pPr>
        <w:pStyle w:val="1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5468">
        <w:rPr>
          <w:rStyle w:val="rvts0"/>
          <w:sz w:val="22"/>
          <w:szCs w:val="22"/>
        </w:rPr>
        <w:t>ринкова вартість майна або послуг, що є предметом значного правочину, становить від 10</w:t>
      </w:r>
      <w:r w:rsidRPr="00125468">
        <w:rPr>
          <w:sz w:val="22"/>
          <w:szCs w:val="22"/>
        </w:rPr>
        <w:t>%</w:t>
      </w:r>
      <w:r w:rsidRPr="00125468">
        <w:rPr>
          <w:rStyle w:val="rvts0"/>
          <w:sz w:val="22"/>
          <w:szCs w:val="22"/>
        </w:rPr>
        <w:t xml:space="preserve"> до 25 </w:t>
      </w:r>
      <w:r w:rsidRPr="00125468">
        <w:rPr>
          <w:sz w:val="22"/>
          <w:szCs w:val="22"/>
        </w:rPr>
        <w:t xml:space="preserve">% </w:t>
      </w:r>
      <w:r w:rsidRPr="00125468">
        <w:rPr>
          <w:rStyle w:val="rvts0"/>
          <w:sz w:val="22"/>
          <w:szCs w:val="22"/>
        </w:rPr>
        <w:t xml:space="preserve"> вартості активів за даними останньої річної фінансової звітності Товариства;</w:t>
      </w:r>
    </w:p>
    <w:p w:rsidR="00A81FF8" w:rsidRPr="00125468" w:rsidRDefault="00A81FF8" w:rsidP="00A81FF8">
      <w:pPr>
        <w:pStyle w:val="1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ind w:left="0" w:firstLine="0"/>
        <w:jc w:val="both"/>
        <w:rPr>
          <w:color w:val="000000"/>
          <w:sz w:val="22"/>
          <w:szCs w:val="22"/>
        </w:rPr>
      </w:pPr>
      <w:r w:rsidRPr="00125468">
        <w:rPr>
          <w:color w:val="000000"/>
          <w:sz w:val="22"/>
          <w:szCs w:val="22"/>
        </w:rPr>
        <w:t>ринкова вартість майна або послуг, що є предметом значного правочину, перевищує 25% вартості активів за даними останньої річної фінансової звітності Товариства;</w:t>
      </w:r>
    </w:p>
    <w:p w:rsidR="00A81FF8" w:rsidRPr="00125468" w:rsidRDefault="00A81FF8" w:rsidP="00A81FF8">
      <w:pPr>
        <w:pStyle w:val="1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ind w:left="0" w:firstLine="0"/>
        <w:jc w:val="both"/>
        <w:rPr>
          <w:color w:val="000000"/>
          <w:sz w:val="22"/>
          <w:szCs w:val="22"/>
        </w:rPr>
      </w:pPr>
      <w:r w:rsidRPr="00125468">
        <w:rPr>
          <w:color w:val="000000"/>
          <w:sz w:val="22"/>
          <w:szCs w:val="22"/>
        </w:rPr>
        <w:t>ринкова вартість майна або послуг, що є предметом такого правочину, перевищує 25%, але менша ніж 50% вартості активів за даними останньої річної фінансової звітності Товариства;</w:t>
      </w:r>
    </w:p>
    <w:p w:rsidR="00A81FF8" w:rsidRPr="00125468" w:rsidRDefault="00A81FF8" w:rsidP="00A81FF8">
      <w:pPr>
        <w:pStyle w:val="1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ind w:left="0" w:firstLine="0"/>
        <w:jc w:val="both"/>
        <w:rPr>
          <w:color w:val="000000"/>
          <w:sz w:val="22"/>
          <w:szCs w:val="22"/>
        </w:rPr>
      </w:pPr>
      <w:r w:rsidRPr="00125468">
        <w:rPr>
          <w:color w:val="000000"/>
          <w:sz w:val="22"/>
          <w:szCs w:val="22"/>
        </w:rPr>
        <w:t>ринкова вартість майна, робіт або послуг, що є предметом такого правочину, становить 50% і більше вартості активів за даними останньої річної фінансової звітності Товариства;</w:t>
      </w:r>
    </w:p>
    <w:p w:rsidR="00A81FF8" w:rsidRPr="00125468" w:rsidRDefault="00A81FF8" w:rsidP="00A81FF8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125468">
        <w:rPr>
          <w:color w:val="000000"/>
          <w:sz w:val="22"/>
          <w:szCs w:val="22"/>
        </w:rPr>
        <w:t>-  значних правочинів, предметом яких є (які за своїм характером направлені на): одержання Товариством у будь-яких фізичних та/або юридичних осіб кредитів та/або позик; надання Товариством в заставу та/або іпотеку власного майна для забезпечення кредитних та/або позикових операцій Товариства та/або будь-яких третіх осіб; надання Товариством порук (в тому числі майнових порук) для забезпечення кредитних та/або позикових операцій Товариства та/або будь-яких третіх осіб; страхування майна Товариства; відчуження майна Товариства, що пов’язане із зверненням стягнення на предмет застави та/або іпотеки відповідно до умов зазначених правочинів застави та/або іпотеки, зокрема, але не виключно, укладання договорів кредиту, страхування, застави та/або іпотеки, поруки (в тому числі майнової поруки) із правом наступних застав (перезастав) для забезпечення кредитних операцій Товариства та/або будь-яких третіх осіб та інших договорів, контрактів, угод, правочинів;</w:t>
      </w:r>
    </w:p>
    <w:p w:rsidR="00A81FF8" w:rsidRPr="00125468" w:rsidRDefault="00A81FF8" w:rsidP="00A81FF8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125468">
        <w:rPr>
          <w:color w:val="000000"/>
          <w:sz w:val="22"/>
          <w:szCs w:val="22"/>
        </w:rPr>
        <w:t>-  значних правочинів, предметом яких є (які за своїм характером направлені на): придбання або відчуження Товариством рухомого та/або нерухомого майна, продукції, цінних паперів, майнових та немайнових прав, зокрема, але не виключно, укладання, договорів поставки, купівлі-продажу, міни, комісії та інших договорів, контрактів, угод, правочинів;</w:t>
      </w:r>
    </w:p>
    <w:p w:rsidR="00A81FF8" w:rsidRPr="00125468" w:rsidRDefault="00A81FF8" w:rsidP="00A81FF8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125468">
        <w:rPr>
          <w:color w:val="000000"/>
          <w:sz w:val="22"/>
          <w:szCs w:val="22"/>
        </w:rPr>
        <w:t xml:space="preserve">- значних правочинів, предметом яких є (які за своїм характером направлені на):  сумісну діяльність, надання та/або отримання послуг, зокрема, але не виключно, укладання, договорів про спільну діяльність, підряду, послуг, оренди, </w:t>
      </w:r>
      <w:proofErr w:type="spellStart"/>
      <w:r w:rsidRPr="00125468">
        <w:rPr>
          <w:color w:val="000000"/>
          <w:sz w:val="22"/>
          <w:szCs w:val="22"/>
        </w:rPr>
        <w:t>суперфіцію</w:t>
      </w:r>
      <w:proofErr w:type="spellEnd"/>
      <w:r w:rsidRPr="00125468">
        <w:rPr>
          <w:color w:val="000000"/>
          <w:sz w:val="22"/>
          <w:szCs w:val="22"/>
        </w:rPr>
        <w:t>, правочини щодо реконструкції, знесення, поділу, виділу нерухомого майна Товариства та  інших договорів, контрактів, угод, правочинів;</w:t>
      </w:r>
    </w:p>
    <w:p w:rsidR="00A81FF8" w:rsidRPr="007613BE" w:rsidRDefault="00A81FF8" w:rsidP="00A81FF8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125468">
        <w:rPr>
          <w:color w:val="000000"/>
          <w:sz w:val="22"/>
          <w:szCs w:val="22"/>
        </w:rPr>
        <w:lastRenderedPageBreak/>
        <w:t xml:space="preserve"> - будь-яких правочинів щодо внесення змін та/або доповнень до таких значних Правочинів або </w:t>
      </w:r>
      <w:r w:rsidRPr="007613BE">
        <w:rPr>
          <w:color w:val="000000"/>
          <w:sz w:val="22"/>
          <w:szCs w:val="22"/>
        </w:rPr>
        <w:t>розірвання (припинення) таких значних Правочинів.</w:t>
      </w:r>
    </w:p>
    <w:p w:rsidR="00A81FF8" w:rsidRPr="007613BE" w:rsidRDefault="00A81FF8" w:rsidP="00A81FF8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color w:val="000000"/>
          <w:sz w:val="22"/>
          <w:szCs w:val="22"/>
        </w:rPr>
      </w:pPr>
      <w:r w:rsidRPr="007613BE">
        <w:rPr>
          <w:color w:val="000000"/>
          <w:sz w:val="22"/>
          <w:szCs w:val="22"/>
        </w:rPr>
        <w:t xml:space="preserve">Гранична сукупна вартість (сума) всіх вказаних значних правочинів </w:t>
      </w:r>
      <w:r w:rsidRPr="007613BE">
        <w:rPr>
          <w:sz w:val="22"/>
          <w:szCs w:val="22"/>
        </w:rPr>
        <w:t>(з усіма можливими змінами та доповненнями)</w:t>
      </w:r>
      <w:r w:rsidRPr="007613BE">
        <w:rPr>
          <w:color w:val="000000"/>
          <w:sz w:val="22"/>
          <w:szCs w:val="22"/>
        </w:rPr>
        <w:t>, укладених протягом одного року з дати прийняття цього рішення, не може перевищувати еквівалент 500 000 000 (п’ятсот мільйонів) гривень.</w:t>
      </w:r>
    </w:p>
    <w:p w:rsidR="007613BE" w:rsidRPr="007613BE" w:rsidRDefault="00A81FF8" w:rsidP="007613BE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color w:val="000000"/>
          <w:sz w:val="22"/>
          <w:szCs w:val="22"/>
        </w:rPr>
      </w:pPr>
      <w:r w:rsidRPr="007613BE">
        <w:rPr>
          <w:color w:val="000000"/>
          <w:sz w:val="22"/>
          <w:szCs w:val="22"/>
        </w:rPr>
        <w:t>Уповноважити Директора Приватного акціонерного товариства «</w:t>
      </w:r>
      <w:proofErr w:type="spellStart"/>
      <w:r w:rsidRPr="007613BE">
        <w:rPr>
          <w:color w:val="000000"/>
          <w:sz w:val="22"/>
          <w:szCs w:val="22"/>
        </w:rPr>
        <w:t>Шосткинська</w:t>
      </w:r>
      <w:proofErr w:type="spellEnd"/>
      <w:r w:rsidRPr="007613BE">
        <w:rPr>
          <w:color w:val="000000"/>
          <w:sz w:val="22"/>
          <w:szCs w:val="22"/>
        </w:rPr>
        <w:t xml:space="preserve"> телекомпанія «</w:t>
      </w:r>
      <w:proofErr w:type="spellStart"/>
      <w:r w:rsidRPr="007613BE">
        <w:rPr>
          <w:color w:val="000000"/>
          <w:sz w:val="22"/>
          <w:szCs w:val="22"/>
        </w:rPr>
        <w:t>Телеком-Сервіс</w:t>
      </w:r>
      <w:proofErr w:type="spellEnd"/>
      <w:r w:rsidRPr="007613BE">
        <w:rPr>
          <w:color w:val="000000"/>
          <w:sz w:val="22"/>
          <w:szCs w:val="22"/>
        </w:rPr>
        <w:t>» узгодити умови значних правочинів, укласт</w:t>
      </w:r>
      <w:r w:rsidR="007613BE" w:rsidRPr="007613BE">
        <w:rPr>
          <w:color w:val="000000"/>
          <w:sz w:val="22"/>
          <w:szCs w:val="22"/>
        </w:rPr>
        <w:t>и та підписати значні правочини.</w:t>
      </w:r>
    </w:p>
    <w:p w:rsidR="00A81FF8" w:rsidRPr="007613BE" w:rsidRDefault="00A81FF8" w:rsidP="007613BE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7613BE">
        <w:rPr>
          <w:b/>
          <w:sz w:val="22"/>
          <w:szCs w:val="22"/>
          <w:highlight w:val="white"/>
        </w:rPr>
        <w:t>Проект рішення з питання сьомого проекту порядку денного:</w:t>
      </w:r>
      <w:r w:rsidRPr="007613BE">
        <w:rPr>
          <w:sz w:val="22"/>
          <w:szCs w:val="22"/>
        </w:rPr>
        <w:t xml:space="preserve"> Збиток, отриманий за результатами діяльності Товариства у 2019 році, покрити за рахунок прибутків наступних періодів</w:t>
      </w:r>
      <w:r w:rsidR="007613BE">
        <w:rPr>
          <w:sz w:val="22"/>
          <w:szCs w:val="22"/>
        </w:rPr>
        <w:t>.</w:t>
      </w:r>
    </w:p>
    <w:p w:rsidR="00A81FF8" w:rsidRPr="007613BE" w:rsidRDefault="00A81FF8" w:rsidP="00A81FF8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:rsidR="000D4F84" w:rsidRPr="00125468" w:rsidRDefault="008A7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13BE">
        <w:rPr>
          <w:rFonts w:ascii="Times New Roman" w:eastAsia="Times New Roman" w:hAnsi="Times New Roman" w:cs="Times New Roman"/>
        </w:rPr>
        <w:tab/>
        <w:t>Адреса власного веб-сайту, на якому розміщено</w:t>
      </w:r>
      <w:r w:rsidRPr="00125468">
        <w:rPr>
          <w:rFonts w:ascii="Times New Roman" w:eastAsia="Times New Roman" w:hAnsi="Times New Roman" w:cs="Times New Roman"/>
        </w:rPr>
        <w:t xml:space="preserve"> інформацію з проектами рішень щодо кожного з питань, включених до проекту порядку денного</w:t>
      </w:r>
      <w:r w:rsidR="00327C65">
        <w:rPr>
          <w:rFonts w:ascii="Times New Roman" w:eastAsia="Times New Roman" w:hAnsi="Times New Roman" w:cs="Times New Roman"/>
        </w:rPr>
        <w:t xml:space="preserve"> </w:t>
      </w:r>
      <w:r w:rsidR="00327C65">
        <w:rPr>
          <w:rFonts w:ascii="Times New Roman CYR" w:hAnsi="Times New Roman CYR" w:cs="Times New Roman CYR"/>
          <w:sz w:val="24"/>
          <w:szCs w:val="24"/>
        </w:rPr>
        <w:t>http://tks.prat.ua</w:t>
      </w:r>
      <w:r w:rsidRPr="00125468">
        <w:rPr>
          <w:rFonts w:ascii="Times New Roman" w:eastAsia="Times New Roman" w:hAnsi="Times New Roman" w:cs="Times New Roman"/>
        </w:rPr>
        <w:t>, а також інформацію передбаченою ч.4 ст. 35 Закону України «Про акціонерні товариства».</w:t>
      </w:r>
    </w:p>
    <w:p w:rsidR="000D4F84" w:rsidRPr="00125468" w:rsidRDefault="000D4F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:rsidR="000D4F84" w:rsidRPr="00125468" w:rsidRDefault="000D4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D4F84" w:rsidRPr="00125468" w:rsidRDefault="008A7D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5468">
        <w:rPr>
          <w:rFonts w:ascii="Times New Roman" w:eastAsia="Times New Roman" w:hAnsi="Times New Roman" w:cs="Times New Roman"/>
        </w:rPr>
        <w:t xml:space="preserve">Директор (підписано) </w:t>
      </w:r>
      <w:proofErr w:type="spellStart"/>
      <w:r w:rsidRPr="00125468">
        <w:rPr>
          <w:rFonts w:ascii="Times New Roman" w:eastAsia="Times New Roman" w:hAnsi="Times New Roman" w:cs="Times New Roman"/>
        </w:rPr>
        <w:t>Користіна</w:t>
      </w:r>
      <w:proofErr w:type="spellEnd"/>
      <w:r w:rsidRPr="00125468">
        <w:rPr>
          <w:rFonts w:ascii="Times New Roman" w:eastAsia="Times New Roman" w:hAnsi="Times New Roman" w:cs="Times New Roman"/>
        </w:rPr>
        <w:t xml:space="preserve"> Лариса Іванівна</w:t>
      </w:r>
      <w:bookmarkStart w:id="0" w:name="_GoBack"/>
      <w:bookmarkEnd w:id="0"/>
    </w:p>
    <w:p w:rsidR="000D4F84" w:rsidRPr="00125468" w:rsidRDefault="000D4F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</w:p>
    <w:sectPr w:rsidR="000D4F84" w:rsidRPr="00125468">
      <w:pgSz w:w="11906" w:h="16838"/>
      <w:pgMar w:top="284" w:right="850" w:bottom="142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AA9"/>
    <w:multiLevelType w:val="multilevel"/>
    <w:tmpl w:val="8C2CD84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B272944"/>
    <w:multiLevelType w:val="multilevel"/>
    <w:tmpl w:val="857E9D1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92E1AB9"/>
    <w:multiLevelType w:val="hybridMultilevel"/>
    <w:tmpl w:val="6D9A4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D4F84"/>
    <w:rsid w:val="000D4F84"/>
    <w:rsid w:val="00125468"/>
    <w:rsid w:val="00327C65"/>
    <w:rsid w:val="007613BE"/>
    <w:rsid w:val="007872A0"/>
    <w:rsid w:val="008A7D0F"/>
    <w:rsid w:val="00A81FF8"/>
    <w:rsid w:val="00CE0053"/>
    <w:rsid w:val="00D01990"/>
    <w:rsid w:val="00D536B3"/>
    <w:rsid w:val="00E33055"/>
    <w:rsid w:val="00F6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Normal (Web)"/>
    <w:basedOn w:val="a"/>
    <w:uiPriority w:val="99"/>
    <w:unhideWhenUsed/>
    <w:rsid w:val="00E3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0">
    <w:name w:val="Обычный1"/>
    <w:rsid w:val="00A8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81FF8"/>
    <w:pPr>
      <w:ind w:left="720"/>
      <w:contextualSpacing/>
    </w:pPr>
  </w:style>
  <w:style w:type="paragraph" w:customStyle="1" w:styleId="11">
    <w:name w:val="Обычный1"/>
    <w:rsid w:val="00A81FF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rvts0">
    <w:name w:val="rvts0"/>
    <w:rsid w:val="00A81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Normal (Web)"/>
    <w:basedOn w:val="a"/>
    <w:uiPriority w:val="99"/>
    <w:unhideWhenUsed/>
    <w:rsid w:val="00E3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0">
    <w:name w:val="Обычный1"/>
    <w:rsid w:val="00A8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81FF8"/>
    <w:pPr>
      <w:ind w:left="720"/>
      <w:contextualSpacing/>
    </w:pPr>
  </w:style>
  <w:style w:type="paragraph" w:customStyle="1" w:styleId="11">
    <w:name w:val="Обычный1"/>
    <w:rsid w:val="00A81FF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rvts0">
    <w:name w:val="rvts0"/>
    <w:rsid w:val="00A81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3826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Администратор</cp:lastModifiedBy>
  <cp:revision>9</cp:revision>
  <cp:lastPrinted>2020-02-17T12:26:00Z</cp:lastPrinted>
  <dcterms:created xsi:type="dcterms:W3CDTF">2020-02-17T12:07:00Z</dcterms:created>
  <dcterms:modified xsi:type="dcterms:W3CDTF">2020-02-25T07:55:00Z</dcterms:modified>
</cp:coreProperties>
</file>